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102"/>
        </w:tabs>
        <w:rPr>
          <w:rFonts w:hint="eastAsia"/>
          <w:lang w:eastAsia="zh-CN"/>
        </w:rPr>
      </w:pPr>
      <w:r>
        <w:rPr>
          <w:rFonts w:hint="eastAsia"/>
          <w:sz w:val="32"/>
          <w:szCs w:val="32"/>
          <w:lang w:val="en-US" w:eastAsia="zh-CN"/>
        </w:rPr>
        <w:t>ZBCR-2020-0040003</w:t>
      </w:r>
      <w:r>
        <w:rPr>
          <w:rFonts w:hint="eastAsia"/>
          <w:lang w:eastAsia="zh-CN"/>
        </w:rPr>
        <w:tab/>
      </w:r>
    </w:p>
    <w:p>
      <w:pPr>
        <w:tabs>
          <w:tab w:val="left" w:pos="5102"/>
        </w:tabs>
        <w:rPr>
          <w:rFonts w:hint="eastAsia"/>
          <w:lang w:eastAsia="zh-CN"/>
        </w:rPr>
      </w:pPr>
    </w:p>
    <w:p>
      <w:pPr>
        <w:tabs>
          <w:tab w:val="left" w:pos="5102"/>
        </w:tabs>
        <w:rPr>
          <w:rFonts w:hint="eastAsia"/>
          <w:lang w:eastAsia="zh-CN"/>
        </w:rPr>
      </w:pPr>
    </w:p>
    <w:p>
      <w:pPr>
        <w:tabs>
          <w:tab w:val="left" w:pos="5102"/>
        </w:tabs>
        <w:rPr>
          <w:rFonts w:hint="eastAsia"/>
          <w:lang w:eastAsia="zh-CN"/>
        </w:rPr>
      </w:pPr>
    </w:p>
    <w:p>
      <w:pPr>
        <w:tabs>
          <w:tab w:val="left" w:pos="5102"/>
        </w:tabs>
        <w:rPr>
          <w:rFonts w:hint="eastAsia"/>
          <w:lang w:eastAsia="zh-CN"/>
        </w:rPr>
      </w:pPr>
    </w:p>
    <w:p>
      <w:pPr>
        <w:tabs>
          <w:tab w:val="left" w:pos="5102"/>
        </w:tabs>
        <w:rPr>
          <w:rFonts w:hint="eastAsia"/>
          <w:lang w:eastAsia="zh-CN"/>
        </w:rPr>
      </w:pPr>
    </w:p>
    <w:p>
      <w:pPr>
        <w:tabs>
          <w:tab w:val="left" w:pos="5102"/>
        </w:tabs>
        <w:rPr>
          <w:rFonts w:hint="eastAsia"/>
          <w:lang w:eastAsia="zh-CN"/>
        </w:rPr>
      </w:pPr>
    </w:p>
    <w:p>
      <w:pPr>
        <w:tabs>
          <w:tab w:val="left" w:pos="5102"/>
        </w:tabs>
        <w:rPr>
          <w:rFonts w:hint="eastAsia"/>
          <w:lang w:eastAsia="zh-CN"/>
        </w:rPr>
      </w:pPr>
    </w:p>
    <w:p>
      <w:pPr>
        <w:tabs>
          <w:tab w:val="left" w:pos="5102"/>
        </w:tabs>
        <w:rPr>
          <w:rFonts w:hint="eastAsia"/>
          <w:lang w:eastAsia="zh-CN"/>
        </w:rPr>
      </w:pPr>
    </w:p>
    <w:p>
      <w:pPr>
        <w:spacing w:line="640" w:lineRule="exact"/>
        <w:jc w:val="center"/>
        <w:rPr>
          <w:rFonts w:hint="eastAsia" w:ascii="仿宋_GB2312" w:hAnsi="仿宋_GB2312" w:eastAsia="仿宋_GB2312" w:cs="仿宋_GB2312"/>
          <w:b w:val="0"/>
          <w:bCs w:val="0"/>
          <w:i w:val="0"/>
          <w:caps w:val="0"/>
          <w:color w:val="444444"/>
          <w:spacing w:val="0"/>
          <w:kern w:val="0"/>
          <w:sz w:val="32"/>
          <w:szCs w:val="32"/>
          <w:shd w:val="clear" w:fill="FFFFFF"/>
          <w:lang w:val="en-US" w:eastAsia="zh-CN" w:bidi="ar"/>
        </w:rPr>
      </w:pPr>
    </w:p>
    <w:p>
      <w:pPr>
        <w:spacing w:line="640" w:lineRule="exact"/>
        <w:jc w:val="center"/>
        <w:rPr>
          <w:rFonts w:hint="eastAsia" w:ascii="仿宋_GB2312" w:hAnsi="仿宋_GB2312" w:eastAsia="仿宋_GB2312" w:cs="仿宋_GB2312"/>
          <w:b w:val="0"/>
          <w:bCs w:val="0"/>
          <w:i w:val="0"/>
          <w:caps w:val="0"/>
          <w:color w:val="444444"/>
          <w:spacing w:val="0"/>
          <w:kern w:val="0"/>
          <w:sz w:val="32"/>
          <w:szCs w:val="32"/>
          <w:shd w:val="clear" w:fill="FFFFFF"/>
          <w:lang w:val="en-US" w:eastAsia="zh-CN" w:bidi="ar"/>
        </w:rPr>
      </w:pPr>
    </w:p>
    <w:p>
      <w:pPr>
        <w:spacing w:line="640" w:lineRule="exact"/>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i w:val="0"/>
          <w:caps w:val="0"/>
          <w:color w:val="444444"/>
          <w:spacing w:val="0"/>
          <w:kern w:val="0"/>
          <w:sz w:val="32"/>
          <w:szCs w:val="32"/>
          <w:shd w:val="clear" w:fill="FFFFFF"/>
          <w:lang w:val="en-US" w:eastAsia="zh-CN" w:bidi="ar"/>
        </w:rPr>
        <w:t>淄工信消发</w:t>
      </w:r>
      <w:r>
        <w:rPr>
          <w:rFonts w:hint="eastAsia" w:ascii="仿宋_GB2312" w:hAnsi="仿宋_GB2312" w:eastAsia="仿宋_GB2312" w:cs="仿宋_GB2312"/>
          <w:color w:val="000000"/>
          <w:sz w:val="32"/>
          <w:szCs w:val="32"/>
          <w:lang w:val="en-US" w:eastAsia="zh-CN"/>
        </w:rPr>
        <w:t>〔2020〕5号</w:t>
      </w:r>
    </w:p>
    <w:p>
      <w:pPr>
        <w:spacing w:line="640" w:lineRule="exact"/>
        <w:jc w:val="both"/>
        <w:rPr>
          <w:rFonts w:hint="eastAsia" w:ascii="楷体_GB2312" w:hAnsi="楷体_GB2312" w:eastAsia="楷体_GB2312" w:cs="楷体_GB2312"/>
          <w:color w:val="000000"/>
          <w:sz w:val="32"/>
          <w:szCs w:val="32"/>
          <w:lang w:val="en-US" w:eastAsia="zh-CN"/>
        </w:rPr>
      </w:pPr>
    </w:p>
    <w:p>
      <w:pPr>
        <w:spacing w:line="640" w:lineRule="exact"/>
        <w:jc w:val="both"/>
        <w:rPr>
          <w:rFonts w:hint="eastAsia" w:ascii="方正小标宋简体" w:hAnsi="方正小标宋简体" w:eastAsia="方正小标宋简体"/>
          <w:color w:val="000000"/>
          <w:sz w:val="44"/>
          <w:szCs w:val="44"/>
        </w:rPr>
      </w:pP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5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caps w:val="0"/>
          <w:color w:val="444444"/>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caps w:val="0"/>
          <w:color w:val="444444"/>
          <w:spacing w:val="0"/>
          <w:kern w:val="0"/>
          <w:sz w:val="44"/>
          <w:szCs w:val="44"/>
          <w:shd w:val="clear" w:fill="FFFFFF"/>
          <w:lang w:val="en-US" w:eastAsia="zh-CN" w:bidi="ar"/>
        </w:rPr>
        <w:t>关于印发《淄博市市级食盐储备管理办法》的通知</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5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caps w:val="0"/>
          <w:color w:val="444444"/>
          <w:spacing w:val="0"/>
          <w:kern w:val="0"/>
          <w:sz w:val="44"/>
          <w:szCs w:val="44"/>
          <w:shd w:val="clear" w:fill="FFFFFF"/>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50" w:afterAutospacing="0" w:line="520" w:lineRule="exact"/>
        <w:ind w:left="0" w:right="0" w:firstLine="0"/>
        <w:jc w:val="both"/>
        <w:textAlignment w:val="auto"/>
        <w:rPr>
          <w:rFonts w:hint="eastAsia" w:ascii="仿宋_GB2312" w:hAnsi="仿宋_GB2312" w:eastAsia="仿宋_GB2312" w:cs="仿宋_GB2312"/>
          <w:b w:val="0"/>
          <w:bCs w:val="0"/>
          <w:i w:val="0"/>
          <w:caps w:val="0"/>
          <w:color w:val="444444"/>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444444"/>
          <w:spacing w:val="0"/>
          <w:kern w:val="0"/>
          <w:sz w:val="32"/>
          <w:szCs w:val="32"/>
          <w:shd w:val="clear" w:fill="FFFFFF"/>
          <w:lang w:val="en-US" w:eastAsia="zh-CN" w:bidi="ar"/>
        </w:rPr>
        <w:t>各区县工信局、财政局，高新区、文昌湖区经发局、财政局，经开区产业发展促进局、财政局：</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50" w:afterAutospacing="0" w:line="520" w:lineRule="exact"/>
        <w:ind w:left="0" w:right="0" w:firstLine="640"/>
        <w:jc w:val="both"/>
        <w:textAlignment w:val="auto"/>
        <w:rPr>
          <w:rFonts w:hint="eastAsia" w:ascii="仿宋_GB2312" w:hAnsi="仿宋_GB2312" w:eastAsia="仿宋_GB2312" w:cs="仿宋_GB2312"/>
          <w:b w:val="0"/>
          <w:bCs w:val="0"/>
          <w:i w:val="0"/>
          <w:caps w:val="0"/>
          <w:color w:val="444444"/>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444444"/>
          <w:spacing w:val="0"/>
          <w:kern w:val="0"/>
          <w:sz w:val="32"/>
          <w:szCs w:val="32"/>
          <w:shd w:val="clear" w:fill="FFFFFF"/>
          <w:lang w:val="en-US" w:eastAsia="zh-CN" w:bidi="ar"/>
        </w:rPr>
        <w:t>现将《淄博市食盐供应应急预案》印发你们，请认真遵照执行。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i w:val="0"/>
          <w:caps w:val="0"/>
          <w:color w:val="444444"/>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caps w:val="0"/>
          <w:color w:val="444444"/>
          <w:spacing w:val="0"/>
          <w:kern w:val="0"/>
          <w:sz w:val="32"/>
          <w:szCs w:val="32"/>
          <w:shd w:val="clear" w:fill="FFFFFF"/>
          <w:lang w:val="en-US" w:eastAsia="zh-CN" w:bidi="ar"/>
        </w:rPr>
        <w:t>淄博市工业和信息化局             淄博市财政局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2020年7月29日</w:t>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eastAsia="zh-CN"/>
        </w:rPr>
        <w:t>淄博</w:t>
      </w:r>
      <w:r>
        <w:rPr>
          <w:rFonts w:hint="eastAsia" w:ascii="方正小标宋简体" w:hAnsi="方正小标宋简体" w:eastAsia="方正小标宋简体" w:cs="方正小标宋简体"/>
          <w:sz w:val="44"/>
          <w:szCs w:val="44"/>
        </w:rPr>
        <w:t>市</w:t>
      </w:r>
      <w:r>
        <w:rPr>
          <w:rFonts w:hint="eastAsia" w:ascii="方正小标宋简体" w:hAnsi="方正小标宋简体" w:eastAsia="方正小标宋简体" w:cs="方正小标宋简体"/>
          <w:sz w:val="44"/>
          <w:szCs w:val="44"/>
          <w:lang w:eastAsia="zh-CN"/>
        </w:rPr>
        <w:t>市级</w:t>
      </w:r>
      <w:r>
        <w:rPr>
          <w:rFonts w:hint="eastAsia" w:ascii="方正小标宋简体" w:hAnsi="方正小标宋简体" w:eastAsia="方正小标宋简体" w:cs="方正小标宋简体"/>
          <w:sz w:val="44"/>
          <w:szCs w:val="44"/>
        </w:rPr>
        <w:t>食盐储备管理办法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rPr>
        <w:t>一</w:t>
      </w:r>
      <w:r>
        <w:rPr>
          <w:rFonts w:hint="eastAsia" w:ascii="黑体" w:hAnsi="黑体" w:eastAsia="黑体" w:cs="黑体"/>
          <w:sz w:val="32"/>
          <w:szCs w:val="32"/>
          <w:lang w:eastAsia="zh-CN"/>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rPr>
      </w:pPr>
      <w:r>
        <w:rPr>
          <w:rFonts w:hint="eastAsia" w:ascii="楷体_GB2312" w:hAnsi="楷体_GB2312" w:eastAsia="楷体_GB2312" w:cs="楷体_GB2312"/>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为加强全市食盐储备管理，增强应对各类突发事件能力，维护食盐市场稳定，保障食盐供应安全，根据《</w:t>
      </w:r>
      <w:r>
        <w:rPr>
          <w:rFonts w:hint="eastAsia" w:ascii="仿宋_GB2312" w:hAnsi="仿宋_GB2312" w:eastAsia="仿宋_GB2312" w:cs="仿宋_GB2312"/>
          <w:sz w:val="32"/>
          <w:szCs w:val="32"/>
          <w:lang w:eastAsia="zh-CN"/>
        </w:rPr>
        <w:t>食盐专营办法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(国务院令第696号）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国务院关于印发盐业体制改革方案的通知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（国办【</w:t>
      </w:r>
      <w:r>
        <w:rPr>
          <w:rFonts w:hint="eastAsia" w:ascii="仿宋_GB2312" w:hAnsi="仿宋_GB2312" w:eastAsia="仿宋_GB2312" w:cs="仿宋_GB2312"/>
          <w:sz w:val="32"/>
          <w:szCs w:val="32"/>
          <w:lang w:val="en-US" w:eastAsia="zh-CN"/>
        </w:rPr>
        <w:t>2016】25号）</w:t>
      </w:r>
      <w:r>
        <w:rPr>
          <w:rFonts w:hint="eastAsia" w:ascii="仿宋_GB2312" w:hAnsi="仿宋_GB2312" w:eastAsia="仿宋_GB2312" w:cs="仿宋_GB2312"/>
          <w:sz w:val="32"/>
          <w:szCs w:val="32"/>
          <w:lang w:eastAsia="zh-CN"/>
        </w:rPr>
        <w:t>、《淄博市盐业体制改革实施方案》（淄政发【</w:t>
      </w:r>
      <w:r>
        <w:rPr>
          <w:rFonts w:hint="eastAsia" w:ascii="仿宋_GB2312" w:hAnsi="仿宋_GB2312" w:eastAsia="仿宋_GB2312" w:cs="仿宋_GB2312"/>
          <w:sz w:val="32"/>
          <w:szCs w:val="32"/>
          <w:lang w:val="en-US" w:eastAsia="zh-CN"/>
        </w:rPr>
        <w:t>2017】22号）</w:t>
      </w:r>
      <w:r>
        <w:rPr>
          <w:rFonts w:hint="eastAsia" w:ascii="仿宋_GB2312" w:hAnsi="仿宋_GB2312" w:eastAsia="仿宋_GB2312" w:cs="仿宋_GB2312"/>
          <w:sz w:val="32"/>
          <w:szCs w:val="32"/>
          <w:lang w:eastAsia="zh-CN"/>
        </w:rPr>
        <w:t>等有关规定，</w:t>
      </w:r>
      <w:r>
        <w:rPr>
          <w:rFonts w:hint="eastAsia" w:ascii="仿宋_GB2312" w:hAnsi="仿宋_GB2312" w:eastAsia="仿宋_GB2312" w:cs="仿宋_GB2312"/>
          <w:sz w:val="32"/>
          <w:szCs w:val="32"/>
        </w:rPr>
        <w:t>结合我市实际，制定本办法。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本办法所称食盐储备是指用于应对我市各类突发事件应急需要和调节食盐市场异常波动的成品食盐储备，由政府储备和企业储备组成。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政府食盐储备遵循企业承储、</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rPr>
        <w:t>补贴、市场运作、</w:t>
      </w:r>
      <w:r>
        <w:rPr>
          <w:rFonts w:hint="eastAsia" w:ascii="仿宋_GB2312" w:hAnsi="仿宋_GB2312" w:eastAsia="仿宋_GB2312" w:cs="仿宋_GB2312"/>
          <w:sz w:val="32"/>
          <w:szCs w:val="32"/>
          <w:lang w:eastAsia="zh-CN"/>
        </w:rPr>
        <w:t>费用包干</w:t>
      </w:r>
      <w:r>
        <w:rPr>
          <w:rFonts w:hint="eastAsia" w:ascii="仿宋_GB2312" w:hAnsi="仿宋_GB2312" w:eastAsia="仿宋_GB2312" w:cs="仿宋_GB2312"/>
          <w:sz w:val="32"/>
          <w:szCs w:val="32"/>
        </w:rPr>
        <w:t>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工业和信息化局</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牵头协调市级</w:t>
      </w:r>
      <w:r>
        <w:rPr>
          <w:rFonts w:hint="eastAsia" w:ascii="仿宋_GB2312" w:hAnsi="仿宋_GB2312" w:eastAsia="仿宋_GB2312" w:cs="仿宋_GB2312"/>
          <w:sz w:val="32"/>
          <w:szCs w:val="32"/>
        </w:rPr>
        <w:t>食盐储备管理工作。包括编制年度市级政府食盐储备计划</w:t>
      </w:r>
      <w:r>
        <w:rPr>
          <w:rFonts w:hint="eastAsia" w:ascii="仿宋_GB2312" w:hAnsi="仿宋_GB2312" w:eastAsia="仿宋_GB2312" w:cs="仿宋_GB2312"/>
          <w:sz w:val="32"/>
          <w:szCs w:val="32"/>
          <w:lang w:eastAsia="zh-CN"/>
        </w:rPr>
        <w:t>；确定承储企业，落实储备计划；根据市级食盐储备情况提出项目预算安排建议和资金使用方案，并对项目资金使用绩效进行评价；</w:t>
      </w:r>
      <w:r>
        <w:rPr>
          <w:rFonts w:hint="eastAsia" w:ascii="仿宋_GB2312" w:hAnsi="仿宋_GB2312" w:eastAsia="仿宋_GB2312" w:cs="仿宋_GB2312"/>
          <w:sz w:val="32"/>
          <w:szCs w:val="32"/>
        </w:rPr>
        <w:t>牵头协调市级政府食盐储备管理中的有关问题；对政府食盐储备和企业储备库存情况实施监督检查。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市财政局负责</w:t>
      </w:r>
      <w:r>
        <w:rPr>
          <w:rFonts w:hint="eastAsia" w:ascii="仿宋_GB2312" w:hAnsi="仿宋_GB2312" w:eastAsia="仿宋_GB2312" w:cs="仿宋_GB2312"/>
          <w:sz w:val="32"/>
          <w:szCs w:val="32"/>
          <w:lang w:eastAsia="zh-CN"/>
        </w:rPr>
        <w:t>审核政府食盐储备项目预算安排建议，按规定程序报批后列入年度预算，依据市工业和信息化局申报的资金使用计划，按照预算管理要求拨付资金。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各区县政府食盐储备由当地政府制定并根据本地区实际情况组织实施，其储备品种和规模要合理安排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确保本地食盐市场秩序稳定。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rPr>
        <w:t>二</w:t>
      </w:r>
      <w:r>
        <w:rPr>
          <w:rFonts w:hint="eastAsia" w:ascii="黑体" w:hAnsi="黑体" w:eastAsia="黑体" w:cs="黑体"/>
          <w:sz w:val="32"/>
          <w:szCs w:val="32"/>
          <w:lang w:eastAsia="zh-CN"/>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食盐储备规模和资金</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第六条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市级政府食盐储备规模为全市上一年度月均食盐消费量</w:t>
      </w:r>
      <w:r>
        <w:rPr>
          <w:rFonts w:hint="eastAsia" w:ascii="仿宋_GB2312" w:hAnsi="仿宋_GB2312" w:eastAsia="仿宋_GB2312" w:cs="仿宋_GB2312"/>
          <w:sz w:val="32"/>
          <w:szCs w:val="32"/>
          <w:lang w:eastAsia="zh-CN"/>
        </w:rPr>
        <w:t>（暂定</w:t>
      </w:r>
      <w:r>
        <w:rPr>
          <w:rFonts w:hint="eastAsia" w:ascii="仿宋_GB2312" w:hAnsi="仿宋_GB2312" w:eastAsia="仿宋_GB2312" w:cs="仿宋_GB2312"/>
          <w:sz w:val="32"/>
          <w:szCs w:val="32"/>
          <w:lang w:val="en-US" w:eastAsia="zh-CN"/>
        </w:rPr>
        <w:t>3000吨，其中小包装食盐为1050吨，大包装食盐为1950吨）。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食盐定点批发企业应建立成本自负的企业储备，最低库存不得低于本企业</w:t>
      </w:r>
      <w:r>
        <w:rPr>
          <w:rFonts w:hint="eastAsia" w:ascii="仿宋_GB2312" w:hAnsi="仿宋_GB2312" w:eastAsia="仿宋_GB2312" w:cs="仿宋_GB2312"/>
          <w:sz w:val="32"/>
          <w:szCs w:val="32"/>
          <w:lang w:eastAsia="zh-CN"/>
        </w:rPr>
        <w:t>上年度月</w:t>
      </w:r>
      <w:r>
        <w:rPr>
          <w:rFonts w:hint="eastAsia" w:ascii="仿宋_GB2312" w:hAnsi="仿宋_GB2312" w:eastAsia="仿宋_GB2312" w:cs="仿宋_GB2312"/>
          <w:sz w:val="32"/>
          <w:szCs w:val="32"/>
        </w:rPr>
        <w:t>均销售量，</w:t>
      </w:r>
      <w:r>
        <w:rPr>
          <w:rFonts w:hint="eastAsia" w:ascii="仿宋_GB2312" w:hAnsi="仿宋_GB2312" w:eastAsia="仿宋_GB2312" w:cs="仿宋_GB2312"/>
          <w:sz w:val="32"/>
          <w:szCs w:val="32"/>
          <w:lang w:eastAsia="zh-CN"/>
        </w:rPr>
        <w:t>储备品种由企业根据产销情况自行确定。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食盐储备资金由承储单位向金融机构贷款或其他合法渠道筹措解决。市级财政对承担食盐储备</w:t>
      </w:r>
      <w:r>
        <w:rPr>
          <w:rFonts w:hint="eastAsia" w:ascii="仿宋_GB2312" w:hAnsi="仿宋_GB2312" w:eastAsia="仿宋_GB2312" w:cs="仿宋_GB2312"/>
          <w:sz w:val="32"/>
          <w:szCs w:val="32"/>
          <w:lang w:eastAsia="zh-CN"/>
        </w:rPr>
        <w:t>任务的企业（以下简称“承储企业”）为完成政府食盐储备任务而发生的贷款</w:t>
      </w:r>
      <w:r>
        <w:rPr>
          <w:rFonts w:hint="eastAsia" w:ascii="仿宋_GB2312" w:hAnsi="仿宋_GB2312" w:eastAsia="仿宋_GB2312" w:cs="仿宋_GB2312"/>
          <w:sz w:val="32"/>
          <w:szCs w:val="32"/>
        </w:rPr>
        <w:t>利息、</w:t>
      </w:r>
      <w:r>
        <w:rPr>
          <w:rFonts w:hint="eastAsia" w:ascii="仿宋_GB2312" w:hAnsi="仿宋_GB2312" w:eastAsia="仿宋_GB2312" w:cs="仿宋_GB2312"/>
          <w:sz w:val="32"/>
          <w:szCs w:val="32"/>
          <w:lang w:eastAsia="zh-CN"/>
        </w:rPr>
        <w:t>资金占用费、管理</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eastAsia="zh-CN"/>
        </w:rPr>
        <w:t>等支出给予补助，补助资金由承储企业包干使用。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第九条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市级政府食盐储备补贴，</w:t>
      </w:r>
      <w:r>
        <w:rPr>
          <w:rFonts w:hint="eastAsia" w:ascii="仿宋_GB2312" w:hAnsi="仿宋_GB2312" w:eastAsia="仿宋_GB2312" w:cs="仿宋_GB2312"/>
          <w:sz w:val="32"/>
          <w:szCs w:val="32"/>
          <w:lang w:eastAsia="zh-CN"/>
        </w:rPr>
        <w:t>由承储企业提出书面申请，经市工业和信息化局审核后由市财政局拨付。</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rPr>
        <w:t>三</w:t>
      </w:r>
      <w:r>
        <w:rPr>
          <w:rFonts w:hint="eastAsia" w:ascii="黑体" w:hAnsi="黑体" w:eastAsia="黑体" w:cs="黑体"/>
          <w:sz w:val="32"/>
          <w:szCs w:val="32"/>
          <w:lang w:eastAsia="zh-CN"/>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政府食盐承储企业选定</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市级政府食盐储备承储企业应当通过公开招标的方式确定。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承储企业应当具备以下条件：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具有食盐定点生产企业证书或食盐定点批发企业证书；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（二）在市内具有设施齐全且安全的食盐仓储条件；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（三）交通便利，调动方便，经营量大，便于轮换；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（四）管理规范，信用良好，近三年无违法违规经营纪录，未发生过食盐安全和质量事故。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第十二条</w:t>
      </w:r>
      <w:r>
        <w:rPr>
          <w:rFonts w:hint="eastAsia" w:ascii="仿宋_GB2312" w:hAnsi="仿宋_GB2312" w:eastAsia="仿宋_GB2312" w:cs="仿宋_GB2312"/>
          <w:sz w:val="32"/>
          <w:szCs w:val="32"/>
          <w:lang w:val="en-US" w:eastAsia="zh-CN"/>
        </w:rPr>
        <w:t xml:space="preserve">  市工业和信息化局应当与承储企业签订承储协议，明确双方的权利、义务和违约责任等事项。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储备食盐的储存</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第十三条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市级政府食盐储备地的布局，按照覆盖全市、相对集中、有利调运的原则，由承储</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选定，报市</w:t>
      </w:r>
      <w:r>
        <w:rPr>
          <w:rFonts w:hint="eastAsia" w:ascii="仿宋_GB2312" w:hAnsi="仿宋_GB2312" w:eastAsia="仿宋_GB2312" w:cs="仿宋_GB2312"/>
          <w:sz w:val="32"/>
          <w:szCs w:val="32"/>
          <w:lang w:eastAsia="zh-CN"/>
        </w:rPr>
        <w:t>工业和信息化局</w:t>
      </w:r>
      <w:r>
        <w:rPr>
          <w:rFonts w:hint="eastAsia" w:ascii="仿宋_GB2312" w:hAnsi="仿宋_GB2312" w:eastAsia="仿宋_GB2312" w:cs="仿宋_GB2312"/>
          <w:sz w:val="32"/>
          <w:szCs w:val="32"/>
        </w:rPr>
        <w:t>审核同意后实施。</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承储企业严格执行各项管理制度，建立健全防火、防盗、防洪等安全管理制度，并配备必要的安全防护设施，对食盐储备的数量、质量和储存安全负责。</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入库的储备食盐</w:t>
      </w:r>
      <w:r>
        <w:rPr>
          <w:rFonts w:hint="eastAsia" w:ascii="仿宋_GB2312" w:hAnsi="仿宋_GB2312" w:eastAsia="仿宋_GB2312" w:cs="仿宋_GB2312"/>
          <w:sz w:val="32"/>
          <w:szCs w:val="32"/>
          <w:lang w:eastAsia="zh-CN"/>
        </w:rPr>
        <w:t>应当符合《食品安全国家标准食用盐》（</w:t>
      </w:r>
      <w:r>
        <w:rPr>
          <w:rFonts w:hint="eastAsia" w:ascii="仿宋_GB2312" w:hAnsi="仿宋_GB2312" w:eastAsia="仿宋_GB2312" w:cs="仿宋_GB2312"/>
          <w:sz w:val="32"/>
          <w:szCs w:val="32"/>
          <w:lang w:val="en-US" w:eastAsia="zh-CN"/>
        </w:rPr>
        <w:t>GB2721</w:t>
      </w:r>
      <w:r>
        <w:rPr>
          <w:rFonts w:hint="eastAsia" w:ascii="仿宋_GB2312" w:hAnsi="仿宋_GB2312" w:eastAsia="仿宋_GB2312" w:cs="仿宋_GB2312"/>
          <w:sz w:val="32"/>
          <w:szCs w:val="32"/>
          <w:lang w:eastAsia="zh-CN"/>
        </w:rPr>
        <w:t>）和《食用盐》（</w:t>
      </w:r>
      <w:r>
        <w:rPr>
          <w:rFonts w:hint="eastAsia" w:ascii="仿宋_GB2312" w:hAnsi="仿宋_GB2312" w:eastAsia="仿宋_GB2312" w:cs="仿宋_GB2312"/>
          <w:sz w:val="32"/>
          <w:szCs w:val="32"/>
          <w:lang w:val="en-US" w:eastAsia="zh-CN"/>
        </w:rPr>
        <w:t>GB/T5461)等相关标准，</w:t>
      </w:r>
      <w:r>
        <w:rPr>
          <w:rFonts w:hint="eastAsia" w:ascii="仿宋_GB2312" w:hAnsi="仿宋_GB2312" w:eastAsia="仿宋_GB2312" w:cs="仿宋_GB2312"/>
          <w:sz w:val="32"/>
          <w:szCs w:val="32"/>
        </w:rPr>
        <w:t>其中加碘盐须符合</w:t>
      </w:r>
      <w:r>
        <w:rPr>
          <w:rFonts w:hint="eastAsia" w:ascii="仿宋_GB2312" w:hAnsi="仿宋_GB2312" w:eastAsia="仿宋_GB2312" w:cs="仿宋_GB2312"/>
          <w:sz w:val="32"/>
          <w:szCs w:val="32"/>
          <w:lang w:eastAsia="zh-CN"/>
        </w:rPr>
        <w:t>山东</w:t>
      </w:r>
      <w:r>
        <w:rPr>
          <w:rFonts w:hint="eastAsia" w:ascii="仿宋_GB2312" w:hAnsi="仿宋_GB2312" w:eastAsia="仿宋_GB2312" w:cs="仿宋_GB2312"/>
          <w:sz w:val="32"/>
          <w:szCs w:val="32"/>
        </w:rPr>
        <w:t>省食用盐碘浓度规定。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按照食盐质量和保管要求，至少每半年对储备的食盐进行一次</w:t>
      </w:r>
      <w:r>
        <w:rPr>
          <w:rFonts w:hint="eastAsia" w:ascii="仿宋_GB2312" w:hAnsi="仿宋_GB2312" w:eastAsia="仿宋_GB2312" w:cs="仿宋_GB2312"/>
          <w:sz w:val="32"/>
          <w:szCs w:val="32"/>
        </w:rPr>
        <w:t>轮换，确保储备食盐在保质期内。轮换期间储备数量不得少于当年的储备计划。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市级政府食盐储备应当实行专仓储存、专人管理、专账记载，按品种、数量、质量、进出库时间单独建立账卡档案，建立健全并严格执行入库、出库制度。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储备食盐的</w:t>
      </w:r>
      <w:r>
        <w:rPr>
          <w:rFonts w:hint="eastAsia" w:ascii="黑体" w:hAnsi="黑体" w:eastAsia="黑体" w:cs="黑体"/>
          <w:sz w:val="32"/>
          <w:szCs w:val="32"/>
          <w:lang w:eastAsia="zh-CN"/>
        </w:rPr>
        <w:t>调</w:t>
      </w:r>
      <w:r>
        <w:rPr>
          <w:rFonts w:hint="eastAsia" w:ascii="黑体" w:hAnsi="黑体" w:eastAsia="黑体" w:cs="黑体"/>
          <w:sz w:val="32"/>
          <w:szCs w:val="32"/>
        </w:rPr>
        <w:t>用</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出现下列情况，可以</w:t>
      </w:r>
      <w:r>
        <w:rPr>
          <w:rFonts w:hint="eastAsia" w:ascii="仿宋_GB2312" w:hAnsi="仿宋_GB2312" w:eastAsia="仿宋_GB2312" w:cs="仿宋_GB2312"/>
          <w:sz w:val="32"/>
          <w:szCs w:val="32"/>
          <w:lang w:eastAsia="zh-CN"/>
        </w:rPr>
        <w:t>调</w:t>
      </w:r>
      <w:r>
        <w:rPr>
          <w:rFonts w:hint="eastAsia" w:ascii="仿宋_GB2312" w:hAnsi="仿宋_GB2312" w:eastAsia="仿宋_GB2312" w:cs="仿宋_GB2312"/>
          <w:sz w:val="32"/>
          <w:szCs w:val="32"/>
        </w:rPr>
        <w:t>用市级政府食盐储备：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（一）发生重大自然灾害或者突发公共事件；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全市或部分区县食盐明显供不应求或者价格出现异常波动；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市政府认为需要</w:t>
      </w:r>
      <w:r>
        <w:rPr>
          <w:rFonts w:hint="eastAsia" w:ascii="仿宋_GB2312" w:hAnsi="仿宋_GB2312" w:eastAsia="仿宋_GB2312" w:cs="仿宋_GB2312"/>
          <w:sz w:val="32"/>
          <w:szCs w:val="32"/>
          <w:lang w:eastAsia="zh-CN"/>
        </w:rPr>
        <w:t>调</w:t>
      </w:r>
      <w:r>
        <w:rPr>
          <w:rFonts w:hint="eastAsia" w:ascii="仿宋_GB2312" w:hAnsi="仿宋_GB2312" w:eastAsia="仿宋_GB2312" w:cs="仿宋_GB2312"/>
          <w:sz w:val="32"/>
          <w:szCs w:val="32"/>
        </w:rPr>
        <w:t>用储备食盐的其他情形。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市级政府食盐储备</w:t>
      </w:r>
      <w:r>
        <w:rPr>
          <w:rFonts w:hint="eastAsia" w:ascii="仿宋_GB2312" w:hAnsi="仿宋_GB2312" w:eastAsia="仿宋_GB2312" w:cs="仿宋_GB2312"/>
          <w:sz w:val="32"/>
          <w:szCs w:val="32"/>
          <w:lang w:eastAsia="zh-CN"/>
        </w:rPr>
        <w:t>调</w:t>
      </w:r>
      <w:r>
        <w:rPr>
          <w:rFonts w:hint="eastAsia" w:ascii="仿宋_GB2312" w:hAnsi="仿宋_GB2312" w:eastAsia="仿宋_GB2312" w:cs="仿宋_GB2312"/>
          <w:sz w:val="32"/>
          <w:szCs w:val="32"/>
        </w:rPr>
        <w:t>用由市</w:t>
      </w:r>
      <w:r>
        <w:rPr>
          <w:rFonts w:hint="eastAsia" w:ascii="仿宋_GB2312" w:hAnsi="仿宋_GB2312" w:eastAsia="仿宋_GB2312" w:cs="仿宋_GB2312"/>
          <w:sz w:val="32"/>
          <w:szCs w:val="32"/>
          <w:lang w:eastAsia="zh-CN"/>
        </w:rPr>
        <w:t>工业和信息化局</w:t>
      </w:r>
      <w:r>
        <w:rPr>
          <w:rFonts w:hint="eastAsia" w:ascii="仿宋_GB2312" w:hAnsi="仿宋_GB2312" w:eastAsia="仿宋_GB2312" w:cs="仿宋_GB2312"/>
          <w:sz w:val="32"/>
          <w:szCs w:val="32"/>
        </w:rPr>
        <w:t>提出方案，报市政府</w:t>
      </w:r>
      <w:r>
        <w:rPr>
          <w:rFonts w:hint="eastAsia" w:ascii="仿宋_GB2312" w:hAnsi="仿宋_GB2312" w:eastAsia="仿宋_GB2312" w:cs="仿宋_GB2312"/>
          <w:sz w:val="32"/>
          <w:szCs w:val="32"/>
          <w:lang w:eastAsia="zh-CN"/>
        </w:rPr>
        <w:t>批准后，由承储企业具体执法。</w:t>
      </w:r>
      <w:r>
        <w:rPr>
          <w:rFonts w:hint="eastAsia" w:ascii="仿宋_GB2312" w:hAnsi="仿宋_GB2312" w:eastAsia="仿宋_GB2312" w:cs="仿宋_GB2312"/>
          <w:sz w:val="32"/>
          <w:szCs w:val="32"/>
        </w:rPr>
        <w:t>需要调用企业储备食盐的，相关企业应按政府指令组织储备食盐的投放。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有关部门和各区县</w:t>
      </w:r>
      <w:r>
        <w:rPr>
          <w:rFonts w:hint="eastAsia" w:ascii="仿宋_GB2312" w:hAnsi="仿宋_GB2312" w:eastAsia="仿宋_GB2312" w:cs="仿宋_GB2312"/>
          <w:sz w:val="32"/>
          <w:szCs w:val="32"/>
          <w:lang w:eastAsia="zh-CN"/>
        </w:rPr>
        <w:t>对食盐储备调用方案的实施，应当给予支持</w:t>
      </w:r>
      <w:r>
        <w:rPr>
          <w:rFonts w:hint="eastAsia" w:ascii="仿宋_GB2312" w:hAnsi="仿宋_GB2312" w:eastAsia="仿宋_GB2312" w:cs="仿宋_GB2312"/>
          <w:sz w:val="32"/>
          <w:szCs w:val="32"/>
        </w:rPr>
        <w:t>、配合。</w:t>
      </w:r>
      <w:r>
        <w:rPr>
          <w:rFonts w:hint="eastAsia" w:ascii="仿宋_GB2312" w:hAnsi="仿宋_GB2312" w:eastAsia="仿宋_GB2312" w:cs="仿宋_GB2312"/>
          <w:sz w:val="32"/>
          <w:szCs w:val="32"/>
          <w:lang w:eastAsia="zh-CN"/>
        </w:rPr>
        <w:t>任何单位和个人不得拒绝执行或擅自改变调用用命令，不得以任何理由拖延。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市级政府储备食盐调用后，承储</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应当于一个月内补齐储备，并将</w:t>
      </w:r>
      <w:r>
        <w:rPr>
          <w:rFonts w:hint="eastAsia" w:ascii="仿宋_GB2312" w:hAnsi="仿宋_GB2312" w:eastAsia="仿宋_GB2312" w:cs="仿宋_GB2312"/>
          <w:sz w:val="32"/>
          <w:szCs w:val="32"/>
          <w:lang w:eastAsia="zh-CN"/>
        </w:rPr>
        <w:t>调</w:t>
      </w:r>
      <w:r>
        <w:rPr>
          <w:rFonts w:hint="eastAsia" w:ascii="仿宋_GB2312" w:hAnsi="仿宋_GB2312" w:eastAsia="仿宋_GB2312" w:cs="仿宋_GB2312"/>
          <w:sz w:val="32"/>
          <w:szCs w:val="32"/>
        </w:rPr>
        <w:t>用和补库情况报市</w:t>
      </w:r>
      <w:r>
        <w:rPr>
          <w:rFonts w:hint="eastAsia" w:ascii="仿宋_GB2312" w:hAnsi="仿宋_GB2312" w:eastAsia="仿宋_GB2312" w:cs="仿宋_GB2312"/>
          <w:sz w:val="32"/>
          <w:szCs w:val="32"/>
          <w:lang w:eastAsia="zh-CN"/>
        </w:rPr>
        <w:t>工信局</w:t>
      </w:r>
      <w:r>
        <w:rPr>
          <w:rFonts w:hint="eastAsia" w:ascii="仿宋_GB2312" w:hAnsi="仿宋_GB2312" w:eastAsia="仿宋_GB2312" w:cs="仿宋_GB2312"/>
          <w:sz w:val="32"/>
          <w:szCs w:val="32"/>
        </w:rPr>
        <w:t>备案；企业食盐储备调用后，应及时补库，确保达到规定的库存量。</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监督检查</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工业和信息化局</w:t>
      </w:r>
      <w:r>
        <w:rPr>
          <w:rFonts w:hint="eastAsia" w:ascii="仿宋_GB2312" w:hAnsi="仿宋_GB2312" w:eastAsia="仿宋_GB2312" w:cs="仿宋_GB2312"/>
          <w:sz w:val="32"/>
          <w:szCs w:val="32"/>
        </w:rPr>
        <w:t>负责对市级政府食盐储备和企业食盐储备的数量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储存安全</w:t>
      </w:r>
      <w:r>
        <w:rPr>
          <w:rFonts w:hint="eastAsia" w:ascii="仿宋_GB2312" w:hAnsi="仿宋_GB2312" w:eastAsia="仿宋_GB2312" w:cs="仿宋_GB2312"/>
          <w:sz w:val="32"/>
          <w:szCs w:val="32"/>
          <w:lang w:eastAsia="zh-CN"/>
        </w:rPr>
        <w:t>及档案</w:t>
      </w:r>
      <w:r>
        <w:rPr>
          <w:rFonts w:hint="eastAsia" w:ascii="仿宋_GB2312" w:hAnsi="仿宋_GB2312" w:eastAsia="仿宋_GB2312" w:cs="仿宋_GB2312"/>
          <w:sz w:val="32"/>
          <w:szCs w:val="32"/>
        </w:rPr>
        <w:t>等实施监督管理；市财政局负责对市级政府食盐储备补贴资金的监督管理。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承储</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对有关部门的监督检查，应予以积极配合，不得拒绝、阻挠。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国家机关工作人员违反本办法规定的，由所在单位按有关规定予以行政处分；构成犯罪的，依法追究刑事责任。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承储</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违反本办法规定和承储协议的，扣减财政补贴，取消承储资格，并</w:t>
      </w:r>
      <w:r>
        <w:rPr>
          <w:rFonts w:hint="eastAsia" w:ascii="仿宋_GB2312" w:hAnsi="仿宋_GB2312" w:eastAsia="仿宋_GB2312" w:cs="仿宋_GB2312"/>
          <w:sz w:val="32"/>
          <w:szCs w:val="32"/>
          <w:lang w:eastAsia="zh-CN"/>
        </w:rPr>
        <w:t>依据国家发展改革委牵头承办的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关于对盐行业生产经营严重失信者开展联合惩戒的合作备忘录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发改经体【</w:t>
      </w:r>
      <w:r>
        <w:rPr>
          <w:rFonts w:hint="eastAsia" w:ascii="仿宋_GB2312" w:hAnsi="仿宋_GB2312" w:eastAsia="仿宋_GB2312" w:cs="仿宋_GB2312"/>
          <w:sz w:val="32"/>
          <w:szCs w:val="32"/>
          <w:lang w:val="en-US" w:eastAsia="zh-CN"/>
        </w:rPr>
        <w:t>2017】1164号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要求对企业相关责任人进行</w:t>
      </w:r>
      <w:r>
        <w:rPr>
          <w:rFonts w:hint="eastAsia" w:ascii="仿宋_GB2312" w:hAnsi="仿宋_GB2312" w:eastAsia="仿宋_GB2312" w:cs="仿宋_GB2312"/>
          <w:sz w:val="32"/>
          <w:szCs w:val="32"/>
        </w:rPr>
        <w:t>惩戒；涉嫌犯罪的，依法移交司法机关追究刑事责任。</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附则</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第二十五条</w:t>
      </w:r>
      <w:r>
        <w:rPr>
          <w:rFonts w:hint="eastAsia" w:ascii="仿宋_GB2312" w:hAnsi="仿宋_GB2312" w:eastAsia="仿宋_GB2312" w:cs="仿宋_GB2312"/>
          <w:sz w:val="32"/>
          <w:szCs w:val="32"/>
          <w:lang w:val="en-US" w:eastAsia="zh-CN"/>
        </w:rPr>
        <w:t xml:space="preserve">  本办法由市工业和信息化局负责解释。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w:t>
      </w:r>
      <w:r>
        <w:rPr>
          <w:rFonts w:hint="eastAsia" w:ascii="仿宋_GB2312" w:hAnsi="仿宋_GB2312" w:eastAsia="仿宋_GB2312" w:cs="仿宋_GB2312"/>
          <w:sz w:val="32"/>
          <w:szCs w:val="32"/>
          <w:lang w:eastAsia="zh-CN"/>
        </w:rPr>
        <w:t>有效期</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val="en-US" w:eastAsia="zh-CN"/>
        </w:rPr>
        <w:t>2020年10月1</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起，</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lang w:val="en-US" w:eastAsia="zh-CN"/>
        </w:rPr>
        <w:t>2025年9月30日止。</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50" w:afterAutospacing="0" w:line="240" w:lineRule="exact"/>
        <w:ind w:left="0" w:right="0" w:firstLine="0"/>
        <w:jc w:val="center"/>
        <w:textAlignment w:val="auto"/>
        <w:rPr>
          <w:rFonts w:hint="eastAsia" w:ascii="方正小标宋简体" w:hAnsi="方正小标宋简体" w:eastAsia="方正小标宋简体" w:cs="方正小标宋简体"/>
          <w:b w:val="0"/>
          <w:bCs w:val="0"/>
          <w:i w:val="0"/>
          <w:caps w:val="0"/>
          <w:color w:val="444444"/>
          <w:spacing w:val="0"/>
          <w:kern w:val="0"/>
          <w:sz w:val="44"/>
          <w:szCs w:val="44"/>
          <w:shd w:val="clear" w:fill="FFFFFF"/>
          <w:lang w:val="en-US" w:eastAsia="zh-CN" w:bidi="ar"/>
        </w:rPr>
      </w:pPr>
    </w:p>
    <w:sectPr>
      <w:footerReference r:id="rId3" w:type="default"/>
      <w:pgSz w:w="11906" w:h="16838"/>
      <w:pgMar w:top="1723"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D0447"/>
    <w:rsid w:val="03524BFD"/>
    <w:rsid w:val="05656AFD"/>
    <w:rsid w:val="16815C31"/>
    <w:rsid w:val="194665E4"/>
    <w:rsid w:val="19587076"/>
    <w:rsid w:val="21906671"/>
    <w:rsid w:val="26574625"/>
    <w:rsid w:val="36B5377F"/>
    <w:rsid w:val="36C73AEB"/>
    <w:rsid w:val="46CD4F17"/>
    <w:rsid w:val="4C6D21CF"/>
    <w:rsid w:val="4D4B38FD"/>
    <w:rsid w:val="4F103CCE"/>
    <w:rsid w:val="50537A78"/>
    <w:rsid w:val="57FD0447"/>
    <w:rsid w:val="605D47BA"/>
    <w:rsid w:val="6F790FFA"/>
    <w:rsid w:val="71445425"/>
    <w:rsid w:val="72251BC0"/>
    <w:rsid w:val="77255F5C"/>
    <w:rsid w:val="784068EC"/>
    <w:rsid w:val="78464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正文 New New New New New New New New New New"/>
    <w:uiPriority w:val="0"/>
    <w:pPr>
      <w:widowControl w:val="0"/>
      <w:jc w:val="both"/>
    </w:pPr>
    <w:rPr>
      <w:rFonts w:ascii="Times New Roman" w:hAnsi="Times New Roman" w:eastAsia="宋体" w:cs="Times New Roman"/>
      <w:kern w:val="2"/>
      <w:sz w:val="21"/>
      <w:szCs w:val="24"/>
      <w:lang w:val="en-US" w:eastAsia="zh-CN"/>
    </w:rPr>
  </w:style>
  <w:style w:type="paragraph" w:customStyle="1" w:styleId="6">
    <w:name w:val="正文 New New New New New New"/>
    <w:qFormat/>
    <w:uiPriority w:val="0"/>
    <w:pPr>
      <w:widowControl w:val="0"/>
      <w:jc w:val="both"/>
    </w:pPr>
    <w:rPr>
      <w:rFonts w:ascii="Times New Roman" w:hAnsi="Times New Roman"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2020-05-21T02:45:00Z</dcterms:created>
  <dc:creator>lenovo</dc:creator>
  <cp:lastModifiedBy>小孙同志</cp:lastModifiedBy>
  <cp:lastPrinted>2020-07-29T02:36:00Z</cp:lastPrinted>
  <dcterms:modified xsi:type="dcterms:W3CDTF">2020-12-15T08:11:59Z</dcterms:modified>
  <dc:title>ZBRC-2020-0040003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