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淄博市工业和信息化局2021年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根据《中华人民共和国政府信息公开条例》，现将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市工业和信息化局2021年信息公开年度报告进行公布。本报告由总体情况、主动公开政府信息情况、依申请公开政府信息情况、行政复议情况、行政诉讼情况、存在的问题和改进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情况、其他需要报告的事项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六个部分组成。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  <w:lang w:eastAsia="zh-CN"/>
        </w:rPr>
        <w:t>文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</w:rPr>
        <w:t>中所列数据的统计期限自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</w:rPr>
        <w:t>年12月31日止。如有任何疑问，请与淄博市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  <w:lang w:eastAsia="zh-CN"/>
        </w:rPr>
        <w:t>工业和信息化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11"/>
          <w:sz w:val="32"/>
          <w:szCs w:val="32"/>
          <w:shd w:val="clear" w:fill="FFFFFF"/>
        </w:rPr>
        <w:t>局办公室联系，联系电话：0533-312068，地址：淄博市张店区柳泉路63号501室。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及时调整局政府信息公开工作领导小组，形成了以局长为组长，分管领导为副组长，局机关各部门负责人为成员的工作体系。领导小组下设的办公室具体负责政府信息公开工作的日常工作。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（一）主动公开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。编制市工业和信息化局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度政务公开工作要点，部署优化政策解读、提升会议公开等11项重点任务，我局2021年通过网站主动公开信息144条，其中政策类文件3件，均同步配发文稿、新闻发布会、领导干部解读、视频解读等多种形式政策解读材料并实现“双向链接”。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553585" cy="3368040"/>
            <wp:effectExtent l="0" t="0" r="5715" b="1016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。2021年市工业和信息化局共收到依申请公开事项2件次，与2020年办理数量持平。申请公开的事项为2020年度述职述廉报告、2019—2020年度淄博市省级企业技术创新项目名单，均依法依规进行了答复。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72000" cy="2743200"/>
            <wp:effectExtent l="4445" t="4445" r="8255" b="825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上线运行“淄惠企·服务企业云平台”，集成发布各级政策1.2万余条，逐条政策明确联系人、联系方式，打通政企服务“最后一公里”；出台并公开发布规范性文件1件，严格履行意见征集、意见反馈、政策解读等程序。</w:t>
      </w:r>
    </w:p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281430" cy="2063115"/>
            <wp:effectExtent l="0" t="0" r="127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81430" cy="2063115"/>
            <wp:effectExtent l="0" t="0" r="1270" b="698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积极维护局机关门户网站信息183条，访问量再上新台阶，达到436210人次；优化设置政府信息公开专栏，更新信息144条；着力扩大“淄博工信”微博、微信等新媒体影响力，全年编发各类信息262条，订阅人数达到3351人；编制公布政府信息公开指南，线上线下均实现了无障碍阅机关政府信息。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13330" cy="1461770"/>
            <wp:effectExtent l="0" t="0" r="1270" b="11430"/>
            <wp:docPr id="9" name="图片 9" descr="7d49ee823b7384e1ceb8b6c39b1b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d49ee823b7384e1ceb8b6c39b1b5a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84705" cy="1463675"/>
            <wp:effectExtent l="0" t="0" r="10795" b="9525"/>
            <wp:docPr id="10" name="图片 10" descr="09f95e55932f0b7949fc20b567cc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9f95e55932f0b7949fc20b567cc4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动态更新政府信息公开目录，明确66项主动公开内容，逐一明确公开时限、责任分工，确保各项工作落细落实；成立调整局政务公开领导小组，安排1人兼职负责政务公开工作；积极围绕明确公开属性、加强执法公开、规范依申请公开答复等，开展工信系统政务公开培训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二、行政机关主动公开政府信息情况</w:t>
      </w:r>
    </w:p>
    <w:tbl>
      <w:tblPr>
        <w:tblStyle w:val="7"/>
        <w:tblW w:w="97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440"/>
        <w:gridCol w:w="2945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三、本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办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" w:type="dxa"/>
            <w:vMerge w:val="continue"/>
            <w:tcBorders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四、因政府信息公开工作被申请行政复议、提起行政诉讼情况</w:t>
      </w:r>
    </w:p>
    <w:tbl>
      <w:tblPr>
        <w:tblStyle w:val="7"/>
        <w:tblpPr w:leftFromText="180" w:rightFromText="180" w:vertAnchor="text" w:horzAnchor="page" w:tblpX="1205" w:tblpY="725"/>
        <w:tblOverlap w:val="never"/>
        <w:tblW w:w="102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五、政府信息公开工作存在的主要问题改进情况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工业和信息化局政务公开工作虽然取得一定成绩，但是对标对表国家和省市有关要求，还存在如下问题：全系统尚未牢固梳理“管业务就要管公开”主动性、自觉性，尚未形成齐抓共管的业务合力。政策解读形式较为单一，运用动漫、媒体、专家、图表等方式解读的政策少等问题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对此，市工业和信息化局按照“管业务就要管公开”要求，主动担当、加力提速，不断提升政务公开工作效能。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一是凝聚政务公开力量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。分解各项工作任务，确保目标明确、责任到人、落实到位；持续加强对《政府信息公开条例》的学习运用，开展依申请公开规范化答复专题讲座，切实维护申请人合法权益。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二是提高政策解读质效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严格按照政策背景、决策依据、出台目的、重要举措等内容要素编写公开政策解读，确保解读材料看得懂、记得住、用得上；更多运用新闻发布会、动漫解读、图表解读等群众喜闻乐见方式开展解读，全方位、深层次、多角度对同一政策开展解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三是强化业务培训力度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。根据年度政务公开工作短板弱项、历次督查反馈问题和三方反馈情况，有针对性制定年度政务公开培训计划。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（一）收取信息处理费情况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。2021年，我局未收取政府信息公开信息处理费。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（二）落实上级政务公开工作要点情况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。我局根据上级政务公开工作要点，结合工作实际，细化制定市工业和信息化局政务公开年度11项重点工作，全部按时间节点完成目标任务。</w:t>
      </w:r>
    </w:p>
    <w:p>
      <w:p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（三）人大代表建议和政协提案办理情况公开情况。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共收到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“两会”建议、提案62件，其中，人大建议21件，政协提案41件，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召开了建议提案面复会，向市领导和市人大代表、市政协委员汇报了工业和信息化工作情况和建议、提案办理情况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实现与代表委员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沟通率、按时办结率、代表委员满意率三个100%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，并全部在政务公开专栏进行公开。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（四）政务公开工作创新情况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。建立“一个政策文件汇编、一个集成发布平台、一个统一服务窗口”的惠企政策直达机制，有效解决政策落地“最后一公里”难题，相关经验被省政务公开办专题推介。</w:t>
      </w:r>
    </w:p>
    <w:p>
      <w:pPr>
        <w:wordWrap w:val="0"/>
        <w:ind w:firstLine="640" w:firstLineChars="200"/>
        <w:jc w:val="righ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淄博市工业和信息化局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wordWrap w:val="0"/>
        <w:ind w:firstLine="640" w:firstLineChars="200"/>
        <w:jc w:val="righ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2022年1月29日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D0D07"/>
    <w:rsid w:val="20632474"/>
    <w:rsid w:val="2D0D3D8E"/>
    <w:rsid w:val="663D1947"/>
    <w:rsid w:val="71850D07"/>
    <w:rsid w:val="71867C72"/>
    <w:rsid w:val="FDFF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3466CC"/>
      <w:u w:val="single"/>
    </w:rPr>
  </w:style>
  <w:style w:type="character" w:customStyle="1" w:styleId="11">
    <w:name w:val="button"/>
    <w:basedOn w:val="9"/>
    <w:qFormat/>
    <w:uiPriority w:val="0"/>
  </w:style>
  <w:style w:type="character" w:customStyle="1" w:styleId="12">
    <w:name w:val="tmpztreemove_arrow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2020—2021</a:t>
            </a:r>
            <a:r>
              <a:rPr altLang="en-US"/>
              <a:t>年市工业和信息化局</a:t>
            </a:r>
            <a:endParaRPr altLang="en-US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依申请公开事项数量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工作表.xlsx]Sheet1'!$A$26:$A$27</c:f>
              <c:strCache>
                <c:ptCount val="2"/>
                <c:pt idx="0">
                  <c:v>2021年依申请公开数量</c:v>
                </c:pt>
                <c:pt idx="1">
                  <c:v>2020年依申请公开数量</c:v>
                </c:pt>
              </c:strCache>
            </c:strRef>
          </c:cat>
          <c:val>
            <c:numRef>
              <c:f>'[新建 XLSX 工作表.xlsx]Sheet1'!$B$26:$B$27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237380"/>
        <c:axId val="668772183"/>
      </c:barChart>
      <c:catAx>
        <c:axId val="6322373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8772183"/>
        <c:crosses val="autoZero"/>
        <c:auto val="1"/>
        <c:lblAlgn val="ctr"/>
        <c:lblOffset val="100"/>
        <c:noMultiLvlLbl val="0"/>
      </c:catAx>
      <c:valAx>
        <c:axId val="668772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22373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2646</Words>
  <Characters>2750</Characters>
  <Lines>0</Lines>
  <Paragraphs>0</Paragraphs>
  <TotalTime>203</TotalTime>
  <ScaleCrop>false</ScaleCrop>
  <LinksUpToDate>false</LinksUpToDate>
  <CharactersWithSpaces>2756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2022-01-14T14:39:00Z</dcterms:created>
  <dc:creator>Administrator</dc:creator>
  <cp:lastModifiedBy>小孙同志</cp:lastModifiedBy>
  <cp:lastPrinted>2022-01-17T10:07:00Z</cp:lastPrinted>
  <dcterms:modified xsi:type="dcterms:W3CDTF">2022-01-29T05:43:26Z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